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22" w:type="dxa"/>
        <w:tblInd w:w="738" w:type="dxa"/>
        <w:tblCellMar>
          <w:left w:w="0" w:type="dxa"/>
          <w:right w:w="0" w:type="dxa"/>
        </w:tblCellMar>
        <w:tblLook w:val="04A0" w:firstRow="1" w:lastRow="0" w:firstColumn="1" w:lastColumn="0" w:noHBand="0" w:noVBand="1"/>
      </w:tblPr>
      <w:tblGrid>
        <w:gridCol w:w="13122"/>
      </w:tblGrid>
      <w:tr w:rsidR="009C66A5" w:rsidTr="006F29EC">
        <w:trPr>
          <w:trHeight w:val="315"/>
        </w:trPr>
        <w:tc>
          <w:tcPr>
            <w:tcW w:w="13122" w:type="dxa"/>
            <w:tcMar>
              <w:top w:w="0" w:type="dxa"/>
              <w:left w:w="108" w:type="dxa"/>
              <w:bottom w:w="0" w:type="dxa"/>
              <w:right w:w="108" w:type="dxa"/>
            </w:tcMar>
            <w:vAlign w:val="center"/>
          </w:tcPr>
          <w:p w:rsidR="009C66A5" w:rsidRDefault="009C66A5">
            <w:pPr>
              <w:rPr>
                <w:b/>
                <w:bCs/>
                <w:u w:val="single"/>
              </w:rPr>
            </w:pPr>
          </w:p>
        </w:tc>
      </w:tr>
      <w:tr w:rsidR="009C66A5" w:rsidTr="006F29EC">
        <w:trPr>
          <w:trHeight w:val="312"/>
        </w:trPr>
        <w:tc>
          <w:tcPr>
            <w:tcW w:w="13122" w:type="dxa"/>
            <w:tcMar>
              <w:top w:w="0" w:type="dxa"/>
              <w:left w:w="108" w:type="dxa"/>
              <w:bottom w:w="0" w:type="dxa"/>
              <w:right w:w="108" w:type="dxa"/>
            </w:tcMar>
            <w:vAlign w:val="center"/>
            <w:hideMark/>
          </w:tcPr>
          <w:p w:rsidR="009C66A5" w:rsidRDefault="009C66A5">
            <w:pPr>
              <w:rPr>
                <w:b/>
                <w:bCs/>
                <w:u w:val="single"/>
              </w:rPr>
            </w:pPr>
          </w:p>
        </w:tc>
      </w:tr>
      <w:tr w:rsidR="009C66A5" w:rsidTr="006F29EC">
        <w:trPr>
          <w:trHeight w:val="276"/>
        </w:trPr>
        <w:tc>
          <w:tcPr>
            <w:tcW w:w="13122" w:type="dxa"/>
            <w:tcMar>
              <w:top w:w="0" w:type="dxa"/>
              <w:left w:w="108" w:type="dxa"/>
              <w:bottom w:w="0" w:type="dxa"/>
              <w:right w:w="108" w:type="dxa"/>
            </w:tcMar>
            <w:vAlign w:val="center"/>
            <w:hideMark/>
          </w:tcPr>
          <w:p w:rsidR="009C66A5" w:rsidRDefault="000E020A" w:rsidP="00A06426">
            <w:pPr>
              <w:rPr>
                <w:rFonts w:ascii="Calibri" w:hAnsi="Calibri"/>
                <w:b/>
                <w:bCs/>
                <w:u w:val="single"/>
              </w:rPr>
            </w:pPr>
            <w:r>
              <w:rPr>
                <w:b/>
                <w:bCs/>
                <w:u w:val="single"/>
              </w:rPr>
              <w:t xml:space="preserve">Epic NEBO Alerts Deployment </w:t>
            </w:r>
            <w:r w:rsidR="00694B16">
              <w:rPr>
                <w:b/>
                <w:bCs/>
                <w:u w:val="single"/>
              </w:rPr>
              <w:t>10/</w:t>
            </w:r>
            <w:r w:rsidR="00A06426">
              <w:rPr>
                <w:b/>
                <w:bCs/>
                <w:u w:val="single"/>
              </w:rPr>
              <w:t>30</w:t>
            </w:r>
            <w:r w:rsidR="00694B16">
              <w:rPr>
                <w:b/>
                <w:bCs/>
                <w:u w:val="single"/>
              </w:rPr>
              <w:t>/2015</w:t>
            </w:r>
          </w:p>
        </w:tc>
      </w:tr>
    </w:tbl>
    <w:p w:rsidR="009C66A5" w:rsidRDefault="009C66A5"/>
    <w:tbl>
      <w:tblPr>
        <w:tblW w:w="8190" w:type="dxa"/>
        <w:tblCellMar>
          <w:left w:w="0" w:type="dxa"/>
          <w:right w:w="0" w:type="dxa"/>
        </w:tblCellMar>
        <w:tblLook w:val="04A0" w:firstRow="1" w:lastRow="0" w:firstColumn="1" w:lastColumn="0" w:noHBand="0" w:noVBand="1"/>
      </w:tblPr>
      <w:tblGrid>
        <w:gridCol w:w="3330"/>
        <w:gridCol w:w="1350"/>
        <w:gridCol w:w="3510"/>
      </w:tblGrid>
      <w:tr w:rsidR="001414F5" w:rsidRPr="006F29EC" w:rsidTr="006F29EC">
        <w:trPr>
          <w:trHeight w:val="540"/>
        </w:trPr>
        <w:tc>
          <w:tcPr>
            <w:tcW w:w="3330"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rsidR="001414F5" w:rsidRPr="006F29EC" w:rsidRDefault="001414F5">
            <w:pPr>
              <w:rPr>
                <w:b/>
                <w:bCs/>
                <w:sz w:val="18"/>
                <w:szCs w:val="18"/>
              </w:rPr>
            </w:pPr>
            <w:r w:rsidRPr="006F29EC">
              <w:rPr>
                <w:b/>
                <w:bCs/>
                <w:sz w:val="18"/>
                <w:szCs w:val="18"/>
              </w:rPr>
              <w:t>Alert</w:t>
            </w:r>
          </w:p>
        </w:tc>
        <w:tc>
          <w:tcPr>
            <w:tcW w:w="13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1414F5" w:rsidRPr="006F29EC" w:rsidRDefault="001414F5">
            <w:pPr>
              <w:rPr>
                <w:b/>
                <w:bCs/>
                <w:sz w:val="18"/>
                <w:szCs w:val="18"/>
              </w:rPr>
            </w:pPr>
            <w:r w:rsidRPr="006F29EC">
              <w:rPr>
                <w:b/>
                <w:bCs/>
                <w:sz w:val="18"/>
                <w:szCs w:val="18"/>
              </w:rPr>
              <w:t>Action</w:t>
            </w:r>
          </w:p>
        </w:tc>
        <w:tc>
          <w:tcPr>
            <w:tcW w:w="35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1414F5" w:rsidRPr="006F29EC" w:rsidRDefault="001414F5">
            <w:pPr>
              <w:rPr>
                <w:b/>
                <w:bCs/>
                <w:sz w:val="18"/>
                <w:szCs w:val="18"/>
              </w:rPr>
            </w:pPr>
            <w:r w:rsidRPr="006F29EC">
              <w:rPr>
                <w:b/>
                <w:bCs/>
                <w:sz w:val="18"/>
                <w:szCs w:val="18"/>
              </w:rPr>
              <w:t>Notes</w:t>
            </w:r>
          </w:p>
        </w:tc>
      </w:tr>
      <w:tr w:rsidR="001414F5" w:rsidRPr="006F29EC" w:rsidTr="006F29EC">
        <w:trPr>
          <w:trHeight w:val="540"/>
        </w:trPr>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414F5" w:rsidRPr="006F29EC" w:rsidRDefault="00A06426">
            <w:pPr>
              <w:rPr>
                <w:sz w:val="18"/>
                <w:szCs w:val="18"/>
              </w:rPr>
            </w:pPr>
            <w:r w:rsidRPr="006F29EC">
              <w:rPr>
                <w:sz w:val="18"/>
                <w:szCs w:val="18"/>
              </w:rPr>
              <w:t>0057 - Alternate payer(s) found. Contact for benefits: {0}{1}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1414F5" w:rsidRPr="006F29EC" w:rsidRDefault="00694B16">
            <w:pPr>
              <w:rPr>
                <w:sz w:val="18"/>
                <w:szCs w:val="18"/>
              </w:rPr>
            </w:pPr>
            <w:r w:rsidRPr="006F29EC">
              <w:rPr>
                <w:sz w:val="18"/>
                <w:szCs w:val="18"/>
              </w:rPr>
              <w:t>New</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1414F5" w:rsidRPr="006F29EC" w:rsidRDefault="00A06426" w:rsidP="00A06426">
            <w:pPr>
              <w:rPr>
                <w:sz w:val="18"/>
                <w:szCs w:val="18"/>
              </w:rPr>
            </w:pPr>
            <w:r w:rsidRPr="006F29EC">
              <w:rPr>
                <w:sz w:val="18"/>
                <w:szCs w:val="18"/>
              </w:rPr>
              <w:t xml:space="preserve">This alert notifies end users of alternate payers. These payers are administrated by the original payer queried but do not house the benefits for the specific plan and must be contacted via telephone. It will list out all alternate payers along with the telephone number supplied in the response. </w:t>
            </w:r>
            <w:r w:rsidR="00694B16" w:rsidRPr="006F29EC">
              <w:rPr>
                <w:sz w:val="18"/>
                <w:szCs w:val="18"/>
              </w:rPr>
              <w:t xml:space="preserve"> </w:t>
            </w:r>
          </w:p>
        </w:tc>
      </w:tr>
    </w:tbl>
    <w:p w:rsidR="000E020A" w:rsidRPr="006F29EC" w:rsidRDefault="000E020A" w:rsidP="000E020A">
      <w:pPr>
        <w:rPr>
          <w:rFonts w:ascii="Calibri" w:hAnsi="Calibri"/>
          <w:sz w:val="18"/>
          <w:szCs w:val="18"/>
        </w:rPr>
      </w:pPr>
    </w:p>
    <w:p w:rsidR="000E020A" w:rsidRDefault="000E020A" w:rsidP="000E020A"/>
    <w:tbl>
      <w:tblPr>
        <w:tblW w:w="8190" w:type="dxa"/>
        <w:tblCellMar>
          <w:left w:w="0" w:type="dxa"/>
          <w:right w:w="0" w:type="dxa"/>
        </w:tblCellMar>
        <w:tblLook w:val="04A0" w:firstRow="1" w:lastRow="0" w:firstColumn="1" w:lastColumn="0" w:noHBand="0" w:noVBand="1"/>
      </w:tblPr>
      <w:tblGrid>
        <w:gridCol w:w="1720"/>
        <w:gridCol w:w="701"/>
        <w:gridCol w:w="5769"/>
      </w:tblGrid>
      <w:tr w:rsidR="009304DD" w:rsidRPr="006F29EC" w:rsidTr="009304DD">
        <w:trPr>
          <w:cantSplit/>
        </w:trPr>
        <w:tc>
          <w:tcPr>
            <w:tcW w:w="0" w:type="auto"/>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9304DD" w:rsidRPr="006F29EC" w:rsidRDefault="009304DD" w:rsidP="00484446">
            <w:pPr>
              <w:rPr>
                <w:b/>
                <w:bCs/>
                <w:sz w:val="18"/>
                <w:szCs w:val="18"/>
              </w:rPr>
            </w:pPr>
            <w:r w:rsidRPr="006F29EC">
              <w:rPr>
                <w:b/>
                <w:bCs/>
                <w:sz w:val="18"/>
                <w:szCs w:val="18"/>
              </w:rPr>
              <w:t>Alert</w:t>
            </w:r>
          </w:p>
        </w:tc>
        <w:tc>
          <w:tcPr>
            <w:tcW w:w="0" w:type="auto"/>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9304DD" w:rsidRPr="006F29EC" w:rsidRDefault="009304DD" w:rsidP="00484446">
            <w:pPr>
              <w:rPr>
                <w:b/>
                <w:bCs/>
                <w:sz w:val="18"/>
                <w:szCs w:val="18"/>
              </w:rPr>
            </w:pPr>
            <w:r w:rsidRPr="006F29EC">
              <w:rPr>
                <w:b/>
                <w:bCs/>
                <w:sz w:val="18"/>
                <w:szCs w:val="18"/>
              </w:rPr>
              <w:t>Action</w:t>
            </w:r>
          </w:p>
        </w:tc>
        <w:tc>
          <w:tcPr>
            <w:tcW w:w="0" w:type="auto"/>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9304DD" w:rsidRPr="006F29EC" w:rsidRDefault="009304DD" w:rsidP="00484446">
            <w:pPr>
              <w:rPr>
                <w:b/>
                <w:bCs/>
                <w:sz w:val="18"/>
                <w:szCs w:val="18"/>
              </w:rPr>
            </w:pPr>
            <w:r w:rsidRPr="006F29EC">
              <w:rPr>
                <w:b/>
                <w:bCs/>
                <w:sz w:val="18"/>
                <w:szCs w:val="18"/>
              </w:rPr>
              <w:t>Notes</w:t>
            </w:r>
          </w:p>
        </w:tc>
      </w:tr>
      <w:tr w:rsidR="009304DD" w:rsidRPr="006F29EC" w:rsidTr="009304DD">
        <w:trPr>
          <w:cantSplit/>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304DD" w:rsidRPr="006F29EC" w:rsidRDefault="009304DD" w:rsidP="00484446">
            <w:pPr>
              <w:rPr>
                <w:sz w:val="18"/>
                <w:szCs w:val="18"/>
              </w:rPr>
            </w:pPr>
            <w:r w:rsidRPr="006F29EC">
              <w:rPr>
                <w:sz w:val="18"/>
                <w:szCs w:val="18"/>
              </w:rPr>
              <w:t>0057 - Alternate payer(s) found. Contact for benefits: {0}{1}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4DD" w:rsidRPr="006F29EC" w:rsidRDefault="009304DD" w:rsidP="00484446">
            <w:pPr>
              <w:rPr>
                <w:sz w:val="18"/>
                <w:szCs w:val="18"/>
              </w:rPr>
            </w:pPr>
            <w:r w:rsidRPr="006F29EC">
              <w:rPr>
                <w:sz w:val="18"/>
                <w:szCs w:val="18"/>
              </w:rPr>
              <w:t>New</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304DD" w:rsidRPr="006F29EC" w:rsidRDefault="009304DD" w:rsidP="00484446">
            <w:pPr>
              <w:rPr>
                <w:sz w:val="18"/>
                <w:szCs w:val="18"/>
              </w:rPr>
            </w:pPr>
            <w:bookmarkStart w:id="0" w:name="_GoBack"/>
            <w:r w:rsidRPr="006F29EC">
              <w:rPr>
                <w:sz w:val="18"/>
                <w:szCs w:val="18"/>
              </w:rPr>
              <w:t xml:space="preserve">This alert notifies end users of alternate payers. These payers are administrated by the original payer queried but do not house the benefits for the specific plan and must be contacted via telephone. It will list out all alternate payers along with the telephone number supplied in the response. </w:t>
            </w:r>
            <w:bookmarkEnd w:id="0"/>
            <w:r w:rsidRPr="006F29EC">
              <w:rPr>
                <w:sz w:val="18"/>
                <w:szCs w:val="18"/>
              </w:rPr>
              <w:t xml:space="preserve"> </w:t>
            </w:r>
          </w:p>
        </w:tc>
      </w:tr>
    </w:tbl>
    <w:p w:rsidR="004B1EB8" w:rsidRDefault="004B1EB8" w:rsidP="009304DD"/>
    <w:sectPr w:rsidR="004B1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A5"/>
    <w:rsid w:val="000E020A"/>
    <w:rsid w:val="001414F5"/>
    <w:rsid w:val="004B1EB8"/>
    <w:rsid w:val="005A18B6"/>
    <w:rsid w:val="00694B16"/>
    <w:rsid w:val="006F29EC"/>
    <w:rsid w:val="009304DD"/>
    <w:rsid w:val="009C66A5"/>
    <w:rsid w:val="00A06426"/>
    <w:rsid w:val="00CA0A35"/>
    <w:rsid w:val="00D8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4067">
      <w:bodyDiv w:val="1"/>
      <w:marLeft w:val="0"/>
      <w:marRight w:val="0"/>
      <w:marTop w:val="0"/>
      <w:marBottom w:val="0"/>
      <w:divBdr>
        <w:top w:val="none" w:sz="0" w:space="0" w:color="auto"/>
        <w:left w:val="none" w:sz="0" w:space="0" w:color="auto"/>
        <w:bottom w:val="none" w:sz="0" w:space="0" w:color="auto"/>
        <w:right w:val="none" w:sz="0" w:space="0" w:color="auto"/>
      </w:divBdr>
    </w:div>
    <w:div w:id="207109707">
      <w:bodyDiv w:val="1"/>
      <w:marLeft w:val="0"/>
      <w:marRight w:val="0"/>
      <w:marTop w:val="0"/>
      <w:marBottom w:val="0"/>
      <w:divBdr>
        <w:top w:val="none" w:sz="0" w:space="0" w:color="auto"/>
        <w:left w:val="none" w:sz="0" w:space="0" w:color="auto"/>
        <w:bottom w:val="none" w:sz="0" w:space="0" w:color="auto"/>
        <w:right w:val="none" w:sz="0" w:space="0" w:color="auto"/>
      </w:divBdr>
    </w:div>
    <w:div w:id="228080006">
      <w:bodyDiv w:val="1"/>
      <w:marLeft w:val="0"/>
      <w:marRight w:val="0"/>
      <w:marTop w:val="0"/>
      <w:marBottom w:val="0"/>
      <w:divBdr>
        <w:top w:val="none" w:sz="0" w:space="0" w:color="auto"/>
        <w:left w:val="none" w:sz="0" w:space="0" w:color="auto"/>
        <w:bottom w:val="none" w:sz="0" w:space="0" w:color="auto"/>
        <w:right w:val="none" w:sz="0" w:space="0" w:color="auto"/>
      </w:divBdr>
    </w:div>
    <w:div w:id="996109763">
      <w:bodyDiv w:val="1"/>
      <w:marLeft w:val="0"/>
      <w:marRight w:val="0"/>
      <w:marTop w:val="0"/>
      <w:marBottom w:val="0"/>
      <w:divBdr>
        <w:top w:val="none" w:sz="0" w:space="0" w:color="auto"/>
        <w:left w:val="none" w:sz="0" w:space="0" w:color="auto"/>
        <w:bottom w:val="none" w:sz="0" w:space="0" w:color="auto"/>
        <w:right w:val="none" w:sz="0" w:space="0" w:color="auto"/>
      </w:divBdr>
    </w:div>
    <w:div w:id="1131093019">
      <w:bodyDiv w:val="1"/>
      <w:marLeft w:val="0"/>
      <w:marRight w:val="0"/>
      <w:marTop w:val="0"/>
      <w:marBottom w:val="0"/>
      <w:divBdr>
        <w:top w:val="none" w:sz="0" w:space="0" w:color="auto"/>
        <w:left w:val="none" w:sz="0" w:space="0" w:color="auto"/>
        <w:bottom w:val="none" w:sz="0" w:space="0" w:color="auto"/>
        <w:right w:val="none" w:sz="0" w:space="0" w:color="auto"/>
      </w:divBdr>
    </w:div>
    <w:div w:id="1310550810">
      <w:bodyDiv w:val="1"/>
      <w:marLeft w:val="0"/>
      <w:marRight w:val="0"/>
      <w:marTop w:val="0"/>
      <w:marBottom w:val="0"/>
      <w:divBdr>
        <w:top w:val="none" w:sz="0" w:space="0" w:color="auto"/>
        <w:left w:val="none" w:sz="0" w:space="0" w:color="auto"/>
        <w:bottom w:val="none" w:sz="0" w:space="0" w:color="auto"/>
        <w:right w:val="none" w:sz="0" w:space="0" w:color="auto"/>
      </w:divBdr>
    </w:div>
    <w:div w:id="1423797869">
      <w:bodyDiv w:val="1"/>
      <w:marLeft w:val="0"/>
      <w:marRight w:val="0"/>
      <w:marTop w:val="0"/>
      <w:marBottom w:val="0"/>
      <w:divBdr>
        <w:top w:val="none" w:sz="0" w:space="0" w:color="auto"/>
        <w:left w:val="none" w:sz="0" w:space="0" w:color="auto"/>
        <w:bottom w:val="none" w:sz="0" w:space="0" w:color="auto"/>
        <w:right w:val="none" w:sz="0" w:space="0" w:color="auto"/>
      </w:divBdr>
    </w:div>
    <w:div w:id="15319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Passport Health Communications</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Hatch</dc:creator>
  <cp:lastModifiedBy>Joe Dainwood</cp:lastModifiedBy>
  <cp:revision>3</cp:revision>
  <dcterms:created xsi:type="dcterms:W3CDTF">2015-10-30T20:48:00Z</dcterms:created>
  <dcterms:modified xsi:type="dcterms:W3CDTF">2015-10-30T20:52:00Z</dcterms:modified>
</cp:coreProperties>
</file>